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Subseção I</w:t>
      </w:r>
    </w:p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Das Disposições Comuns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23. Sanção e veto são atos privativos do Governador.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Apenas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projetos de lei complementar e de lei ordinária estão sujeitos a veto ou sanção.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A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sanção e o veto, uma vez apresentados, são irretratáveis.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O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disposto nesta e nas subseções seguintes aplica-se, inclusive, a projetos de lei de iniciativa privativa do Tribunal de Contas do Distrito Federal e do Procurador Geral do Ministério Público junto ao Tribunal de Contas do Distrito Federal.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24. É de quinze dias úteis, contados do recebimento, o prazo para que o projeto seja sancionado ou vetado.</w:t>
      </w:r>
    </w:p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Subseção II</w:t>
      </w:r>
    </w:p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Do Veto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25. Veto é o ato pelo qual o Governador nega sanção, no todo ou em parte, a projeto aprovado pela Câmara Legislativa.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O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veto será sempre expresso e motivado.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O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Governador explicitará as razões de ordem jurídica ou contrárias ao interesse público que motivaram o veto.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26. O veto parcial abrangerá somente texto integral de artigo, parágrafo, inciso, alínea ou número.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27. É de quarenta e oito horas o prazo para que o veto e suas razões sejam encaminhados à Câmara Legislativa.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28. O prazo do artigo anterior começa a fluir da data e da hora da assinatura do veto e suas razões.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Na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falta de indicação  da hora, presume-se que o veto foi oposto às dezoito horas.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Na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falta de indicação de data, presume-se que o veto foi oposto no último dia útil do prazo previsto no art. 24 desta Lei Complementar, ou no último dia útil do mês, se faltar apenas o dia.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29. O veto oposto fora do prazo ou não comunicado dentro do prazo desta Lei Complementar é tido por inexistente.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30. A Câmara Legislativa manifestar-se-á sobre o veto nos prazos e forma previstos na Lei Orgânica e no seu Regimento Interno.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31. A Câmara Legislativa poderá rejeitar, total ou parcialmente, o veto total.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32. A manutenção do veto pela Câmara Legislativa, ainda que o veto seja parcial, equivale à rejeição de projeto para efeitos do art. 13 desta Lei Complementar.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33. O texto vetado será suprimido da lei, ficando a unidade de articulação correspondente com sua numeração original, seguida da expressão "vetado" entre parênteses.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É vedada a reutilização da numeração de dispositivo vetado, salvo no caso do art. 130, parágrafo único, desta Lei Complementar.</w:t>
      </w:r>
    </w:p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Subseção III</w:t>
      </w:r>
    </w:p>
    <w:p w:rsidR="003D10D6" w:rsidRPr="003D10D6" w:rsidRDefault="003D10D6" w:rsidP="003D10D6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Da Sanção</w:t>
      </w:r>
    </w:p>
    <w:p w:rsidR="003D10D6" w:rsidRPr="003D10D6" w:rsidRDefault="003D10D6" w:rsidP="003D10D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34. Sanção é o ato pelo qual o Governador exterioriza, expressa ou tacitamente, sua aquiescência ao projeto de lei complementar ou de lei ordinária aprovado pela Câmara Legislativa.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Sanção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expressa é a que ocorre quando o Governador manifesta, por escrito, sua aquiescência.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  Sanção</w:t>
      </w:r>
      <w:proofErr w:type="gramEnd"/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tácita é a que ocorre por decurso de prazo, em virtude de silêncio do Governador no prazo do art. 24 desta Lei Complementar.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35. A sanção não supre vícios de iniciativa, nem de outras etapas a que os projetos de lei complementar ou de lei ordinária estão sujeitos.</w:t>
      </w:r>
    </w:p>
    <w:p w:rsidR="003D10D6" w:rsidRPr="003D10D6" w:rsidRDefault="003D10D6" w:rsidP="003D10D6">
      <w:pPr>
        <w:spacing w:before="60" w:after="60" w:line="240" w:lineRule="auto"/>
        <w:ind w:left="567" w:right="56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D10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36. A sanção será aposta, inclusive, aos projetos de lei complementar ou de lei ordinária que receberem veto parcial.</w:t>
      </w:r>
    </w:p>
    <w:p w:rsidR="00D13435" w:rsidRDefault="003D10D6">
      <w:bookmarkStart w:id="0" w:name="_GoBack"/>
      <w:bookmarkEnd w:id="0"/>
    </w:p>
    <w:sectPr w:rsidR="00D13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D6"/>
    <w:rsid w:val="001E793E"/>
    <w:rsid w:val="003D10D6"/>
    <w:rsid w:val="00A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9BCBB-A78E-40F2-BD89-4347E66B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islao-1ttulo">
    <w:name w:val="legislao-1ttulo"/>
    <w:basedOn w:val="Normal"/>
    <w:rsid w:val="003D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4corpo">
    <w:name w:val="legislao-4corpo"/>
    <w:basedOn w:val="Normal"/>
    <w:rsid w:val="003D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 dos Reis Loblein</dc:creator>
  <cp:keywords/>
  <dc:description/>
  <cp:lastModifiedBy>Duane  dos Reis Loblein</cp:lastModifiedBy>
  <cp:revision>1</cp:revision>
  <dcterms:created xsi:type="dcterms:W3CDTF">2017-12-01T19:40:00Z</dcterms:created>
  <dcterms:modified xsi:type="dcterms:W3CDTF">2017-12-01T19:44:00Z</dcterms:modified>
</cp:coreProperties>
</file>